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B274E">
      <w:pPr>
        <w:widowControl/>
        <w:jc w:val="center"/>
        <w:rPr>
          <w:rFonts w:ascii="Times New Roman" w:hAnsi="Times New Roman" w:cs="Times New Roman"/>
          <w:b/>
          <w:bCs/>
        </w:rPr>
      </w:pPr>
      <w:r>
        <w:rPr>
          <w:rFonts w:ascii="Times New Roman" w:hAnsi="Times New Roman" w:cs="Times New Roman"/>
          <w:b/>
          <w:bCs/>
        </w:rPr>
        <w:t>RESOLUTION NO.  __-2012</w:t>
      </w:r>
    </w:p>
    <w:p w:rsidR="00000000" w:rsidRDefault="007B274E">
      <w:pPr>
        <w:widowControl/>
        <w:jc w:val="both"/>
        <w:rPr>
          <w:rFonts w:ascii="Times New Roman" w:hAnsi="Times New Roman" w:cs="Times New Roman"/>
          <w:bCs/>
        </w:rPr>
      </w:pPr>
    </w:p>
    <w:p w:rsidR="00000000" w:rsidRDefault="007B274E">
      <w:pPr>
        <w:widowControl/>
        <w:ind w:firstLine="720"/>
        <w:jc w:val="both"/>
        <w:rPr>
          <w:rFonts w:ascii="Times New Roman" w:hAnsi="Times New Roman" w:cs="Times New Roman"/>
          <w:b/>
          <w:bCs/>
        </w:rPr>
      </w:pPr>
      <w:r>
        <w:rPr>
          <w:rFonts w:ascii="Times New Roman" w:hAnsi="Times New Roman" w:cs="Times New Roman"/>
          <w:b/>
          <w:bCs/>
        </w:rPr>
        <w:t>RESOLUTION OF THE BOARD OF COMMISSIONERS OF THE COUNTY OF CLAY, INDIANA, APPROVING THE EXECUTION OF AN AMENDMENT TO THE LEASE WITH THE CLAY COUNTY BUILDING CORPORATION, AND ALL MATTERS RELATED THERETO</w:t>
      </w:r>
    </w:p>
    <w:p w:rsidR="00000000" w:rsidRDefault="007B274E">
      <w:pPr>
        <w:widowControl/>
        <w:ind w:firstLine="720"/>
        <w:jc w:val="both"/>
        <w:rPr>
          <w:rFonts w:ascii="Times New Roman" w:hAnsi="Times New Roman" w:cs="Times New Roman"/>
          <w:bCs/>
        </w:rPr>
      </w:pPr>
    </w:p>
    <w:p w:rsidR="00000000" w:rsidRDefault="007B274E">
      <w:pPr>
        <w:widowControl/>
        <w:ind w:firstLine="720"/>
        <w:jc w:val="both"/>
        <w:rPr>
          <w:rFonts w:ascii="Times New Roman" w:hAnsi="Times New Roman" w:cs="Times New Roman"/>
          <w:bCs/>
        </w:rPr>
      </w:pPr>
    </w:p>
    <w:p w:rsidR="00000000" w:rsidRDefault="007B274E">
      <w:pPr>
        <w:widowControl/>
        <w:ind w:firstLine="720"/>
        <w:jc w:val="both"/>
        <w:rPr>
          <w:rFonts w:ascii="Times New Roman" w:hAnsi="Times New Roman" w:cs="Times New Roman"/>
          <w:bCs/>
        </w:rPr>
      </w:pPr>
      <w:r>
        <w:rPr>
          <w:rFonts w:ascii="Times New Roman" w:hAnsi="Times New Roman" w:cs="Times New Roman"/>
          <w:bCs/>
        </w:rPr>
        <w:t>WHEREAS, the Clay County Bui</w:t>
      </w:r>
      <w:r>
        <w:rPr>
          <w:rFonts w:ascii="Times New Roman" w:hAnsi="Times New Roman" w:cs="Times New Roman"/>
          <w:bCs/>
        </w:rPr>
        <w:t>lding Corporation, an Indiana nonprofit corporation existing pursuant to Indiana law, as lessor (the “Building Corporation”), originally entered into a lease with Clay County, Indiana, as lessee (the “County”), dated as of May 1, 2004, as amended (the “Lea</w:t>
      </w:r>
      <w:r>
        <w:rPr>
          <w:rFonts w:ascii="Times New Roman" w:hAnsi="Times New Roman" w:cs="Times New Roman"/>
          <w:bCs/>
        </w:rPr>
        <w:t>se”), for the construction of a county jail (the “Project”); and</w:t>
      </w:r>
    </w:p>
    <w:p w:rsidR="00000000" w:rsidRDefault="007B274E">
      <w:pPr>
        <w:widowControl/>
        <w:ind w:firstLine="720"/>
        <w:jc w:val="both"/>
        <w:rPr>
          <w:rFonts w:ascii="Times New Roman" w:hAnsi="Times New Roman" w:cs="Times New Roman"/>
          <w:bCs/>
        </w:rPr>
      </w:pPr>
    </w:p>
    <w:p w:rsidR="00000000" w:rsidRDefault="007B274E">
      <w:pPr>
        <w:widowControl/>
        <w:ind w:firstLine="720"/>
        <w:jc w:val="both"/>
        <w:rPr>
          <w:rFonts w:ascii="Times New Roman" w:hAnsi="Times New Roman" w:cs="Times New Roman"/>
          <w:bCs/>
        </w:rPr>
      </w:pPr>
      <w:r>
        <w:rPr>
          <w:rFonts w:ascii="Times New Roman" w:hAnsi="Times New Roman" w:cs="Times New Roman"/>
          <w:bCs/>
        </w:rPr>
        <w:t>WHEREAS, the County has determined that the refunding by the Building Corporation of its First Mortgage Bonds, Series 2004, the proceeds of which were used to finance the Project, will gener</w:t>
      </w:r>
      <w:r>
        <w:rPr>
          <w:rFonts w:ascii="Times New Roman" w:hAnsi="Times New Roman" w:cs="Times New Roman"/>
          <w:bCs/>
        </w:rPr>
        <w:t>ate substantial savings to the County in the form of reduced lease payments under the Lease, as amended by the form of First Amendment to Lease presented to the County Commissioners at this meeting.</w:t>
      </w:r>
    </w:p>
    <w:p w:rsidR="00000000" w:rsidRDefault="007B274E">
      <w:pPr>
        <w:widowControl/>
        <w:ind w:firstLine="720"/>
        <w:jc w:val="both"/>
        <w:rPr>
          <w:rFonts w:ascii="Times New Roman" w:hAnsi="Times New Roman" w:cs="Times New Roman"/>
          <w:bCs/>
        </w:rPr>
      </w:pPr>
    </w:p>
    <w:p w:rsidR="00000000" w:rsidRDefault="007B274E">
      <w:pPr>
        <w:widowControl/>
        <w:ind w:firstLine="720"/>
        <w:jc w:val="both"/>
        <w:rPr>
          <w:rFonts w:ascii="Times New Roman" w:hAnsi="Times New Roman" w:cs="Times New Roman"/>
          <w:bCs/>
        </w:rPr>
      </w:pPr>
      <w:r>
        <w:rPr>
          <w:rFonts w:ascii="Times New Roman" w:hAnsi="Times New Roman" w:cs="Times New Roman"/>
          <w:bCs/>
        </w:rPr>
        <w:t>NOW, THEREFORE, THE BOARD OF COMMISSIONERS OF THE COUNTY</w:t>
      </w:r>
      <w:r>
        <w:rPr>
          <w:rFonts w:ascii="Times New Roman" w:hAnsi="Times New Roman" w:cs="Times New Roman"/>
          <w:bCs/>
        </w:rPr>
        <w:t xml:space="preserve"> OF CLAY, INDIANA RESOLVES THE FOLLOWING: </w:t>
      </w:r>
    </w:p>
    <w:p w:rsidR="00000000" w:rsidRDefault="007B274E">
      <w:pPr>
        <w:widowControl/>
        <w:ind w:firstLine="720"/>
        <w:jc w:val="both"/>
        <w:rPr>
          <w:rFonts w:ascii="Times New Roman" w:hAnsi="Times New Roman" w:cs="Times New Roman"/>
          <w:bCs/>
        </w:rPr>
      </w:pPr>
    </w:p>
    <w:p w:rsidR="00000000" w:rsidRDefault="007B274E">
      <w:pPr>
        <w:widowControl/>
        <w:ind w:firstLine="720"/>
        <w:jc w:val="both"/>
        <w:rPr>
          <w:rFonts w:ascii="Times New Roman" w:hAnsi="Times New Roman" w:cs="Times New Roman"/>
          <w:bCs/>
        </w:rPr>
      </w:pPr>
      <w:r>
        <w:rPr>
          <w:rFonts w:ascii="Times New Roman" w:hAnsi="Times New Roman" w:cs="Times New Roman"/>
          <w:bCs/>
          <w:u w:val="single"/>
        </w:rPr>
        <w:t xml:space="preserve"> Section 1</w:t>
      </w:r>
      <w:r>
        <w:rPr>
          <w:rFonts w:ascii="Times New Roman" w:hAnsi="Times New Roman" w:cs="Times New Roman"/>
          <w:bCs/>
        </w:rPr>
        <w:t>.   The proposed First Amendment to Lease, pursuant to which the fixed annual rentals under the Lease are to be amended to correspond to the annual amount of principal and interest due on the 2012 Bonds</w:t>
      </w:r>
      <w:r>
        <w:rPr>
          <w:rFonts w:ascii="Times New Roman" w:hAnsi="Times New Roman" w:cs="Times New Roman"/>
          <w:bCs/>
        </w:rPr>
        <w:t xml:space="preserve"> (as defined below), shall be, and hereby is, approved in substantially the form of </w:t>
      </w:r>
      <w:r>
        <w:rPr>
          <w:rFonts w:ascii="Times New Roman" w:hAnsi="Times New Roman" w:cs="Times New Roman"/>
          <w:bCs/>
          <w:u w:val="single"/>
        </w:rPr>
        <w:t>Exhibit A</w:t>
      </w:r>
      <w:r>
        <w:rPr>
          <w:rFonts w:ascii="Times New Roman" w:hAnsi="Times New Roman" w:cs="Times New Roman"/>
          <w:bCs/>
        </w:rPr>
        <w:t xml:space="preserve"> hereto, with such changes as the County Commissioners and the Auditor shall approve, such approval to be evidenced by their execution thereof.  The First Amendmen</w:t>
      </w:r>
      <w:r>
        <w:rPr>
          <w:rFonts w:ascii="Times New Roman" w:hAnsi="Times New Roman" w:cs="Times New Roman"/>
          <w:bCs/>
        </w:rPr>
        <w:t>t to Lease, as it shall substantially mirror the debt service required under the 2012 Bonds, provides for a fair and reasonable rental, and further, the execution of the First Amendment to Lease is necessary and wise. </w:t>
      </w:r>
    </w:p>
    <w:p w:rsidR="00000000" w:rsidRDefault="007B274E">
      <w:pPr>
        <w:widowControl/>
        <w:ind w:firstLine="720"/>
        <w:jc w:val="both"/>
        <w:rPr>
          <w:rFonts w:ascii="Times New Roman" w:hAnsi="Times New Roman" w:cs="Times New Roman"/>
          <w:bCs/>
        </w:rPr>
      </w:pPr>
    </w:p>
    <w:p w:rsidR="00000000" w:rsidRDefault="007B274E">
      <w:pPr>
        <w:widowControl/>
        <w:ind w:firstLine="720"/>
        <w:jc w:val="both"/>
        <w:rPr>
          <w:rFonts w:ascii="Times New Roman" w:hAnsi="Times New Roman" w:cs="Times New Roman"/>
          <w:bCs/>
        </w:rPr>
      </w:pPr>
      <w:r>
        <w:rPr>
          <w:rFonts w:ascii="Times New Roman" w:hAnsi="Times New Roman" w:cs="Times New Roman"/>
          <w:bCs/>
          <w:u w:val="single"/>
        </w:rPr>
        <w:t>Section 2</w:t>
      </w:r>
      <w:r>
        <w:rPr>
          <w:rFonts w:ascii="Times New Roman" w:hAnsi="Times New Roman" w:cs="Times New Roman"/>
          <w:bCs/>
        </w:rPr>
        <w:t>.  The Auditor is authorize</w:t>
      </w:r>
      <w:r>
        <w:rPr>
          <w:rFonts w:ascii="Times New Roman" w:hAnsi="Times New Roman" w:cs="Times New Roman"/>
          <w:bCs/>
        </w:rPr>
        <w:t>d and directed to initial and date a copy of the proposed First Amendment to Lease and to place the same in the record book immediately following the minutes of this meeting, and further, the First Amendment to Lease is hereby made a part of this Resolutio</w:t>
      </w:r>
      <w:r>
        <w:rPr>
          <w:rFonts w:ascii="Times New Roman" w:hAnsi="Times New Roman" w:cs="Times New Roman"/>
          <w:bCs/>
        </w:rPr>
        <w:t>n as fully as if the same were set forth herein.</w:t>
      </w:r>
    </w:p>
    <w:p w:rsidR="00000000" w:rsidRDefault="007B274E">
      <w:pPr>
        <w:widowControl/>
        <w:ind w:firstLine="720"/>
        <w:jc w:val="both"/>
        <w:rPr>
          <w:rFonts w:ascii="Times New Roman" w:hAnsi="Times New Roman" w:cs="Times New Roman"/>
          <w:bCs/>
        </w:rPr>
      </w:pPr>
    </w:p>
    <w:p w:rsidR="00000000" w:rsidRDefault="007B274E">
      <w:pPr>
        <w:widowControl/>
        <w:ind w:firstLine="720"/>
        <w:jc w:val="both"/>
        <w:rPr>
          <w:rFonts w:ascii="Times New Roman" w:hAnsi="Times New Roman" w:cs="Times New Roman"/>
          <w:bCs/>
        </w:rPr>
      </w:pPr>
      <w:r>
        <w:rPr>
          <w:rFonts w:ascii="Times New Roman" w:hAnsi="Times New Roman" w:cs="Times New Roman"/>
          <w:bCs/>
          <w:u w:val="single"/>
        </w:rPr>
        <w:t>Section 3</w:t>
      </w:r>
      <w:r>
        <w:rPr>
          <w:rFonts w:ascii="Times New Roman" w:hAnsi="Times New Roman" w:cs="Times New Roman"/>
          <w:bCs/>
        </w:rPr>
        <w:t xml:space="preserve">. The issuance, sale and delivery by the Building Corporation of its first mortgage refunding bonds to be designated as the “Clay County Building Corporation First Mortgage Refunding Bonds, Series </w:t>
      </w:r>
      <w:r>
        <w:rPr>
          <w:rFonts w:ascii="Times New Roman" w:hAnsi="Times New Roman" w:cs="Times New Roman"/>
          <w:bCs/>
        </w:rPr>
        <w:t>2012” (the “2012 Bonds”), in the aggregate principal amount not to exceed $9,975,000, is hereby approved.</w:t>
      </w:r>
    </w:p>
    <w:p w:rsidR="00000000" w:rsidRDefault="007B274E">
      <w:pPr>
        <w:widowControl/>
        <w:ind w:firstLine="720"/>
        <w:jc w:val="both"/>
        <w:rPr>
          <w:rFonts w:ascii="Times New Roman" w:hAnsi="Times New Roman" w:cs="Times New Roman"/>
          <w:bCs/>
        </w:rPr>
      </w:pPr>
    </w:p>
    <w:p w:rsidR="00000000" w:rsidRDefault="007B274E">
      <w:pPr>
        <w:widowControl/>
        <w:ind w:firstLine="720"/>
        <w:jc w:val="both"/>
        <w:rPr>
          <w:rFonts w:ascii="Times New Roman" w:hAnsi="Times New Roman" w:cs="Times New Roman"/>
          <w:bCs/>
        </w:rPr>
      </w:pPr>
      <w:r>
        <w:rPr>
          <w:rFonts w:ascii="Times New Roman" w:hAnsi="Times New Roman" w:cs="Times New Roman"/>
          <w:bCs/>
          <w:u w:val="single"/>
        </w:rPr>
        <w:t>Section 4</w:t>
      </w:r>
      <w:r>
        <w:rPr>
          <w:rFonts w:ascii="Times New Roman" w:hAnsi="Times New Roman" w:cs="Times New Roman"/>
          <w:bCs/>
        </w:rPr>
        <w:t xml:space="preserve">. The County Commissioners and the Auditor are hereby authorized and directed to execute and/or approve a Bond Purchase Agreement with City </w:t>
      </w:r>
      <w:r>
        <w:rPr>
          <w:rFonts w:ascii="Times New Roman" w:hAnsi="Times New Roman" w:cs="Times New Roman"/>
          <w:bCs/>
        </w:rPr>
        <w:t>Securities Corporation in such form as such officers shall approve, which approval shall be evidenced by their execution thereof.</w:t>
      </w:r>
    </w:p>
    <w:p w:rsidR="00000000" w:rsidRDefault="007B274E">
      <w:pPr>
        <w:widowControl/>
        <w:ind w:firstLine="720"/>
        <w:jc w:val="both"/>
        <w:rPr>
          <w:rFonts w:ascii="Times New Roman" w:hAnsi="Times New Roman" w:cs="Times New Roman"/>
          <w:bCs/>
        </w:rPr>
      </w:pPr>
    </w:p>
    <w:p w:rsidR="00000000" w:rsidRDefault="007B274E">
      <w:pPr>
        <w:widowControl/>
        <w:ind w:firstLine="720"/>
        <w:jc w:val="both"/>
        <w:rPr>
          <w:rFonts w:ascii="Times New Roman" w:hAnsi="Times New Roman" w:cs="Times New Roman"/>
          <w:bCs/>
        </w:rPr>
      </w:pPr>
      <w:r>
        <w:rPr>
          <w:rFonts w:ascii="Times New Roman" w:hAnsi="Times New Roman" w:cs="Times New Roman"/>
          <w:bCs/>
          <w:u w:val="single"/>
        </w:rPr>
        <w:t>Section 5</w:t>
      </w:r>
      <w:r>
        <w:rPr>
          <w:rFonts w:ascii="Times New Roman" w:hAnsi="Times New Roman" w:cs="Times New Roman"/>
          <w:bCs/>
        </w:rPr>
        <w:t>. The President of the County Commissioners and the Auditor, and each of them, is hereby authorized, empowered and d</w:t>
      </w:r>
      <w:r>
        <w:rPr>
          <w:rFonts w:ascii="Times New Roman" w:hAnsi="Times New Roman" w:cs="Times New Roman"/>
          <w:bCs/>
        </w:rPr>
        <w:t>irected, on behalf of Clay County, Indiana, to take any other action necessary or desirable to effectuate the foregoing resolutions, including, without limitation, executing and delivering any contract, agreement, certificate, instrument or other document,</w:t>
      </w:r>
      <w:r>
        <w:rPr>
          <w:rFonts w:ascii="Times New Roman" w:hAnsi="Times New Roman" w:cs="Times New Roman"/>
          <w:bCs/>
        </w:rPr>
        <w:t xml:space="preserve"> including a continuing disclosure agreement with respect to the 2012 Bonds, and to take any action as such person determines to be necessary or appropriate to accomplish the purposes of this Resolution, such determination to be conclusively evidenced by s</w:t>
      </w:r>
      <w:r>
        <w:rPr>
          <w:rFonts w:ascii="Times New Roman" w:hAnsi="Times New Roman" w:cs="Times New Roman"/>
          <w:bCs/>
        </w:rPr>
        <w:t>uch person’s execution of such contract, agreement, certificate, instrument or other document or such person’s taking of such action, and any actions heretofore made or taken related thereto shall be, and hereby are, ratified and approved.</w:t>
      </w:r>
    </w:p>
    <w:p w:rsidR="00000000" w:rsidRDefault="007B274E">
      <w:pPr>
        <w:widowControl/>
        <w:ind w:firstLine="720"/>
        <w:jc w:val="both"/>
        <w:rPr>
          <w:rFonts w:ascii="Times New Roman" w:hAnsi="Times New Roman" w:cs="Times New Roman"/>
          <w:b/>
          <w:bCs/>
        </w:rPr>
      </w:pPr>
    </w:p>
    <w:p w:rsidR="00000000" w:rsidRDefault="007B274E">
      <w:pPr>
        <w:widowControl/>
        <w:ind w:firstLine="720"/>
        <w:jc w:val="both"/>
        <w:rPr>
          <w:rFonts w:ascii="Times New Roman" w:hAnsi="Times New Roman" w:cs="Times New Roman"/>
        </w:rPr>
      </w:pPr>
      <w:r>
        <w:rPr>
          <w:rFonts w:ascii="Times New Roman" w:hAnsi="Times New Roman" w:cs="Times New Roman"/>
          <w:b/>
          <w:bCs/>
        </w:rPr>
        <w:t>Dated this 2</w:t>
      </w:r>
      <w:r>
        <w:rPr>
          <w:rFonts w:ascii="Times New Roman" w:hAnsi="Times New Roman" w:cs="Times New Roman"/>
          <w:b/>
          <w:bCs/>
          <w:vertAlign w:val="superscript"/>
        </w:rPr>
        <w:t>nd</w:t>
      </w:r>
      <w:r>
        <w:rPr>
          <w:rFonts w:ascii="Times New Roman" w:hAnsi="Times New Roman" w:cs="Times New Roman"/>
          <w:b/>
          <w:bCs/>
        </w:rPr>
        <w:t xml:space="preserve"> </w:t>
      </w:r>
      <w:r>
        <w:rPr>
          <w:rFonts w:ascii="Times New Roman" w:hAnsi="Times New Roman" w:cs="Times New Roman"/>
          <w:b/>
          <w:bCs/>
        </w:rPr>
        <w:t>day of April, 2012.</w:t>
      </w:r>
      <w:r>
        <w:rPr>
          <w:rFonts w:ascii="Times New Roman" w:hAnsi="Times New Roman" w:cs="Times New Roman"/>
        </w:rPr>
        <w:t> </w:t>
      </w:r>
    </w:p>
    <w:p w:rsidR="00000000" w:rsidRDefault="007B274E">
      <w:pPr>
        <w:widowControl/>
        <w:jc w:val="both"/>
        <w:rPr>
          <w:rFonts w:ascii="Times New Roman" w:hAnsi="Times New Roman" w:cs="Times New Roman"/>
        </w:rPr>
      </w:pPr>
    </w:p>
    <w:p w:rsidR="00000000" w:rsidRDefault="007B274E">
      <w:pPr>
        <w:widowControl/>
        <w:ind w:left="5040"/>
        <w:jc w:val="both"/>
        <w:rPr>
          <w:rFonts w:ascii="Times New Roman" w:hAnsi="Times New Roman" w:cs="Times New Roman"/>
        </w:rPr>
      </w:pPr>
      <w:r>
        <w:rPr>
          <w:rFonts w:ascii="Times New Roman" w:hAnsi="Times New Roman" w:cs="Times New Roman"/>
        </w:rPr>
        <w:t>BOARD OF COMMISSIONERS OF THE COUNTY OF CLAY, INDIANA</w:t>
      </w:r>
    </w:p>
    <w:p w:rsidR="00000000" w:rsidRDefault="007B274E">
      <w:pPr>
        <w:widowControl/>
        <w:jc w:val="both"/>
        <w:rPr>
          <w:rFonts w:ascii="Times New Roman" w:hAnsi="Times New Roman" w:cs="Times New Roman"/>
        </w:rPr>
      </w:pPr>
    </w:p>
    <w:p w:rsidR="00000000" w:rsidRDefault="007B274E">
      <w:pPr>
        <w:widowControl/>
        <w:jc w:val="both"/>
        <w:rPr>
          <w:rFonts w:ascii="Times New Roman" w:hAnsi="Times New Roman" w:cs="Times New Roman"/>
        </w:rPr>
      </w:pPr>
    </w:p>
    <w:p w:rsidR="00000000" w:rsidRDefault="007B274E">
      <w:pPr>
        <w:widowControl/>
        <w:jc w:val="both"/>
        <w:rPr>
          <w:rFonts w:ascii="Times New Roman" w:hAnsi="Times New Roman" w:cs="Times New Roman"/>
        </w:rPr>
      </w:pPr>
    </w:p>
    <w:p w:rsidR="00000000" w:rsidRDefault="007B274E">
      <w:pPr>
        <w:widowControl/>
        <w:tabs>
          <w:tab w:val="right" w:pos="9360"/>
        </w:tabs>
        <w:ind w:firstLine="5040"/>
        <w:jc w:val="both"/>
        <w:rPr>
          <w:rFonts w:ascii="Times New Roman" w:hAnsi="Times New Roman" w:cs="Times New Roman"/>
        </w:rPr>
      </w:pPr>
      <w:r>
        <w:rPr>
          <w:rFonts w:ascii="Times New Roman" w:hAnsi="Times New Roman" w:cs="Times New Roman"/>
          <w:u w:val="single"/>
        </w:rPr>
        <w:tab/>
      </w:r>
    </w:p>
    <w:p w:rsidR="00000000" w:rsidRDefault="007B274E">
      <w:pPr>
        <w:widowControl/>
        <w:ind w:firstLine="5040"/>
        <w:jc w:val="both"/>
        <w:rPr>
          <w:rFonts w:ascii="Times New Roman" w:hAnsi="Times New Roman" w:cs="Times New Roman"/>
        </w:rPr>
      </w:pPr>
      <w:r>
        <w:rPr>
          <w:rFonts w:ascii="Times New Roman" w:hAnsi="Times New Roman" w:cs="Times New Roman"/>
        </w:rPr>
        <w:t>Commissioner</w:t>
      </w:r>
    </w:p>
    <w:p w:rsidR="00000000" w:rsidRDefault="007B274E">
      <w:pPr>
        <w:widowControl/>
        <w:jc w:val="both"/>
        <w:rPr>
          <w:rFonts w:ascii="Times New Roman" w:hAnsi="Times New Roman" w:cs="Times New Roman"/>
        </w:rPr>
      </w:pPr>
    </w:p>
    <w:p w:rsidR="00000000" w:rsidRDefault="007B274E">
      <w:pPr>
        <w:widowControl/>
        <w:jc w:val="both"/>
        <w:rPr>
          <w:rFonts w:ascii="Times New Roman" w:hAnsi="Times New Roman" w:cs="Times New Roman"/>
        </w:rPr>
      </w:pPr>
    </w:p>
    <w:p w:rsidR="00000000" w:rsidRDefault="007B274E">
      <w:pPr>
        <w:widowControl/>
        <w:jc w:val="both"/>
        <w:rPr>
          <w:rFonts w:ascii="Times New Roman" w:hAnsi="Times New Roman" w:cs="Times New Roman"/>
        </w:rPr>
      </w:pPr>
    </w:p>
    <w:p w:rsidR="00000000" w:rsidRDefault="007B274E">
      <w:pPr>
        <w:widowControl/>
        <w:tabs>
          <w:tab w:val="right" w:pos="9360"/>
        </w:tabs>
        <w:ind w:firstLine="5040"/>
        <w:jc w:val="both"/>
        <w:rPr>
          <w:rFonts w:ascii="Times New Roman" w:hAnsi="Times New Roman" w:cs="Times New Roman"/>
        </w:rPr>
      </w:pPr>
      <w:r>
        <w:rPr>
          <w:rFonts w:ascii="Times New Roman" w:hAnsi="Times New Roman" w:cs="Times New Roman"/>
          <w:u w:val="single"/>
        </w:rPr>
        <w:tab/>
      </w:r>
    </w:p>
    <w:p w:rsidR="00000000" w:rsidRDefault="007B274E">
      <w:pPr>
        <w:widowControl/>
        <w:ind w:firstLine="5040"/>
        <w:jc w:val="both"/>
        <w:rPr>
          <w:rFonts w:ascii="Times New Roman" w:hAnsi="Times New Roman" w:cs="Times New Roman"/>
        </w:rPr>
      </w:pPr>
      <w:r>
        <w:rPr>
          <w:rFonts w:ascii="Times New Roman" w:hAnsi="Times New Roman" w:cs="Times New Roman"/>
        </w:rPr>
        <w:t>Commissioner</w:t>
      </w:r>
    </w:p>
    <w:p w:rsidR="00000000" w:rsidRDefault="007B274E">
      <w:pPr>
        <w:widowControl/>
        <w:jc w:val="both"/>
        <w:rPr>
          <w:rFonts w:ascii="Times New Roman" w:hAnsi="Times New Roman" w:cs="Times New Roman"/>
        </w:rPr>
      </w:pPr>
    </w:p>
    <w:p w:rsidR="00000000" w:rsidRDefault="007B274E">
      <w:pPr>
        <w:widowControl/>
        <w:jc w:val="both"/>
        <w:rPr>
          <w:rFonts w:ascii="Times New Roman" w:hAnsi="Times New Roman" w:cs="Times New Roman"/>
        </w:rPr>
      </w:pPr>
    </w:p>
    <w:p w:rsidR="00000000" w:rsidRDefault="007B274E">
      <w:pPr>
        <w:widowControl/>
        <w:jc w:val="both"/>
        <w:rPr>
          <w:rFonts w:ascii="Times New Roman" w:hAnsi="Times New Roman" w:cs="Times New Roman"/>
        </w:rPr>
      </w:pPr>
    </w:p>
    <w:p w:rsidR="00000000" w:rsidRDefault="007B274E">
      <w:pPr>
        <w:widowControl/>
        <w:tabs>
          <w:tab w:val="right" w:pos="9360"/>
        </w:tabs>
        <w:ind w:firstLine="5040"/>
        <w:jc w:val="both"/>
        <w:rPr>
          <w:rFonts w:ascii="Times New Roman" w:hAnsi="Times New Roman" w:cs="Times New Roman"/>
        </w:rPr>
      </w:pPr>
      <w:r>
        <w:rPr>
          <w:rFonts w:ascii="Times New Roman" w:hAnsi="Times New Roman" w:cs="Times New Roman"/>
          <w:u w:val="single"/>
        </w:rPr>
        <w:tab/>
      </w:r>
    </w:p>
    <w:p w:rsidR="00000000" w:rsidRDefault="007B274E">
      <w:pPr>
        <w:widowControl/>
        <w:ind w:firstLine="5040"/>
        <w:jc w:val="both"/>
        <w:rPr>
          <w:rFonts w:ascii="Times New Roman" w:hAnsi="Times New Roman" w:cs="Times New Roman"/>
        </w:rPr>
      </w:pPr>
      <w:r>
        <w:rPr>
          <w:rFonts w:ascii="Times New Roman" w:hAnsi="Times New Roman" w:cs="Times New Roman"/>
        </w:rPr>
        <w:t>Commissioner</w:t>
      </w:r>
    </w:p>
    <w:p w:rsidR="00000000" w:rsidRDefault="007B274E">
      <w:pPr>
        <w:widowControl/>
        <w:jc w:val="both"/>
        <w:rPr>
          <w:rFonts w:ascii="Times New Roman" w:hAnsi="Times New Roman" w:cs="Times New Roman"/>
        </w:rPr>
      </w:pPr>
    </w:p>
    <w:p w:rsidR="00000000" w:rsidRDefault="007B274E">
      <w:pPr>
        <w:widowControl/>
        <w:jc w:val="both"/>
        <w:rPr>
          <w:rFonts w:ascii="Times New Roman" w:hAnsi="Times New Roman" w:cs="Times New Roman"/>
        </w:rPr>
      </w:pPr>
    </w:p>
    <w:p w:rsidR="00000000" w:rsidRDefault="007B274E">
      <w:pPr>
        <w:widowControl/>
        <w:jc w:val="both"/>
        <w:rPr>
          <w:rFonts w:ascii="Times New Roman" w:hAnsi="Times New Roman" w:cs="Times New Roman"/>
        </w:rPr>
      </w:pPr>
      <w:r>
        <w:rPr>
          <w:rFonts w:ascii="Times New Roman" w:hAnsi="Times New Roman" w:cs="Times New Roman"/>
        </w:rPr>
        <w:t>ATTEST:</w:t>
      </w:r>
    </w:p>
    <w:p w:rsidR="00000000" w:rsidRDefault="007B274E">
      <w:pPr>
        <w:widowControl/>
        <w:jc w:val="both"/>
        <w:rPr>
          <w:rFonts w:ascii="Times New Roman" w:hAnsi="Times New Roman" w:cs="Times New Roman"/>
        </w:rPr>
      </w:pPr>
    </w:p>
    <w:p w:rsidR="00000000" w:rsidRDefault="007B274E">
      <w:pPr>
        <w:widowControl/>
        <w:jc w:val="both"/>
        <w:rPr>
          <w:rFonts w:ascii="Times New Roman" w:hAnsi="Times New Roman" w:cs="Times New Roman"/>
        </w:rPr>
      </w:pPr>
    </w:p>
    <w:p w:rsidR="00000000" w:rsidRDefault="007B274E">
      <w:pPr>
        <w:widowControl/>
        <w:jc w:val="both"/>
        <w:rPr>
          <w:rFonts w:ascii="Times New Roman" w:hAnsi="Times New Roman" w:cs="Times New Roman"/>
        </w:rPr>
      </w:pPr>
      <w:r>
        <w:rPr>
          <w:rFonts w:ascii="Times New Roman" w:hAnsi="Times New Roman" w:cs="Times New Roman"/>
        </w:rPr>
        <w:t>____________________________</w:t>
      </w:r>
    </w:p>
    <w:p w:rsidR="00000000" w:rsidRDefault="007B274E">
      <w:pPr>
        <w:widowControl/>
        <w:jc w:val="both"/>
        <w:rPr>
          <w:rFonts w:ascii="Times New Roman" w:hAnsi="Times New Roman" w:cs="Times New Roman"/>
        </w:rPr>
      </w:pPr>
      <w:r>
        <w:rPr>
          <w:rFonts w:ascii="Times New Roman" w:hAnsi="Times New Roman" w:cs="Times New Roman"/>
        </w:rPr>
        <w:t>County Auditor </w:t>
      </w:r>
    </w:p>
    <w:p w:rsidR="00000000" w:rsidRDefault="007B274E">
      <w:pPr>
        <w:widowControl/>
        <w:jc w:val="both"/>
        <w:rPr>
          <w:rFonts w:ascii="Times New Roman" w:hAnsi="Times New Roman" w:cs="Times New Roman"/>
        </w:rPr>
      </w:pPr>
    </w:p>
    <w:p w:rsidR="00000000" w:rsidRDefault="007B274E">
      <w:pPr>
        <w:widowControl/>
        <w:jc w:val="both"/>
        <w:rPr>
          <w:rFonts w:ascii="Times New Roman" w:hAnsi="Times New Roman" w:cs="Times New Roman"/>
        </w:rPr>
      </w:pPr>
    </w:p>
    <w:p w:rsidR="00000000" w:rsidRDefault="007B274E">
      <w:pPr>
        <w:widowControl/>
        <w:rPr>
          <w:rFonts w:ascii="Times New Roman" w:hAnsi="Times New Roman" w:cs="Times New Roman"/>
          <w:sz w:val="14"/>
        </w:rPr>
      </w:pPr>
      <w:r>
        <w:rPr>
          <w:sz w:val="14"/>
        </w:rPr>
        <w:lastRenderedPageBreak/>
        <w:fldChar w:fldCharType="begin"/>
      </w:r>
      <w:r>
        <w:rPr>
          <w:sz w:val="14"/>
        </w:rPr>
        <w:instrText xml:space="preserve"> ADVANCE  \y 700 </w:instrText>
      </w:r>
      <w:r>
        <w:rPr>
          <w:sz w:val="14"/>
        </w:rPr>
        <w:fldChar w:fldCharType="end"/>
      </w:r>
      <w:r>
        <w:rPr>
          <w:rFonts w:ascii="Times New Roman" w:hAnsi="Times New Roman" w:cs="Times New Roman"/>
          <w:sz w:val="14"/>
        </w:rPr>
        <w:t>INDS01 RCS 1326515v1</w:t>
      </w:r>
    </w:p>
    <w:sectPr w:rsidR="00000000">
      <w:footerReference w:type="default" r:id="rId7"/>
      <w:type w:val="continuous"/>
      <w:pgSz w:w="12240" w:h="15840"/>
      <w:pgMar w:top="1440" w:right="1440" w:bottom="1440" w:left="1440" w:header="144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B274E">
      <w:r>
        <w:separator/>
      </w:r>
    </w:p>
  </w:endnote>
  <w:endnote w:type="continuationSeparator" w:id="0">
    <w:p w:rsidR="00000000" w:rsidRDefault="007B27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B274E">
    <w:pPr>
      <w:spacing w:line="240" w:lineRule="exact"/>
    </w:pPr>
  </w:p>
  <w:p w:rsidR="00000000" w:rsidRDefault="007B274E">
    <w:pPr>
      <w:framePr w:w="9361" w:wrap="notBeside" w:vAnchor="text" w:hAnchor="text" w:x="1" w:y="1"/>
      <w:jc w:val="cente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PAGE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w:t>
    </w:r>
  </w:p>
  <w:p w:rsidR="00000000" w:rsidRDefault="007B27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B274E">
      <w:r>
        <w:separator/>
      </w:r>
    </w:p>
  </w:footnote>
  <w:footnote w:type="continuationSeparator" w:id="0">
    <w:p w:rsidR="00000000" w:rsidRDefault="007B27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B3640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1A21F9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94E0C5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0077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3D2C6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89E290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3F6995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5E65C5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4C74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046D2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821B88"/>
    <w:multiLevelType w:val="multilevel"/>
    <w:tmpl w:val="13924792"/>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decimalZero"/>
      <w:pStyle w:val="Heading3"/>
      <w:isLgl/>
      <w:lvlText w:val="(%3)"/>
      <w:lvlJc w:val="left"/>
      <w:pPr>
        <w:tabs>
          <w:tab w:val="num" w:pos="720"/>
        </w:tabs>
        <w:ind w:left="720" w:hanging="432"/>
      </w:pPr>
    </w:lvl>
    <w:lvl w:ilvl="3">
      <w:start w:val="1"/>
      <w:numFmt w:val="decimalZero"/>
      <w:pStyle w:val="Heading4"/>
      <w:isLgl/>
      <w:lvlText w:val="(%4)"/>
      <w:lvlJc w:val="right"/>
      <w:pPr>
        <w:tabs>
          <w:tab w:val="num" w:pos="864"/>
        </w:tabs>
        <w:ind w:left="864" w:hanging="144"/>
      </w:pPr>
    </w:lvl>
    <w:lvl w:ilvl="4">
      <w:start w:val="1"/>
      <w:numFmt w:val="decimalZero"/>
      <w:pStyle w:val="Heading5"/>
      <w:isLgl/>
      <w:lvlText w:val="%5)"/>
      <w:lvlJc w:val="left"/>
      <w:pPr>
        <w:tabs>
          <w:tab w:val="num" w:pos="1008"/>
        </w:tabs>
        <w:ind w:left="1008" w:hanging="432"/>
      </w:pPr>
    </w:lvl>
    <w:lvl w:ilvl="5">
      <w:start w:val="1"/>
      <w:numFmt w:val="decimalZero"/>
      <w:pStyle w:val="Heading6"/>
      <w:isLgl/>
      <w:lvlText w:val="%6)"/>
      <w:lvlJc w:val="left"/>
      <w:pPr>
        <w:tabs>
          <w:tab w:val="num" w:pos="1152"/>
        </w:tabs>
        <w:ind w:left="1152" w:hanging="432"/>
      </w:pPr>
    </w:lvl>
    <w:lvl w:ilvl="6">
      <w:start w:val="1"/>
      <w:numFmt w:val="decimalZero"/>
      <w:pStyle w:val="Heading7"/>
      <w:isLgl/>
      <w:lvlText w:val="%7)"/>
      <w:lvlJc w:val="right"/>
      <w:pPr>
        <w:tabs>
          <w:tab w:val="num" w:pos="1296"/>
        </w:tabs>
        <w:ind w:left="1296" w:hanging="288"/>
      </w:pPr>
    </w:lvl>
    <w:lvl w:ilvl="7">
      <w:start w:val="1"/>
      <w:numFmt w:val="decimalZero"/>
      <w:pStyle w:val="Heading8"/>
      <w:isLgl/>
      <w:lvlText w:val="%8."/>
      <w:lvlJc w:val="left"/>
      <w:pPr>
        <w:tabs>
          <w:tab w:val="num" w:pos="1440"/>
        </w:tabs>
        <w:ind w:left="1440" w:hanging="432"/>
      </w:pPr>
    </w:lvl>
    <w:lvl w:ilvl="8">
      <w:start w:val="1"/>
      <w:numFmt w:val="decimalZero"/>
      <w:pStyle w:val="Heading9"/>
      <w:isLgl/>
      <w:lvlText w:val="%9."/>
      <w:lvlJc w:val="right"/>
      <w:pPr>
        <w:tabs>
          <w:tab w:val="num" w:pos="1584"/>
        </w:tabs>
        <w:ind w:left="1584" w:hanging="144"/>
      </w:pPr>
    </w:lvl>
  </w:abstractNum>
  <w:abstractNum w:abstractNumId="11">
    <w:nsid w:val="1D882664"/>
    <w:multiLevelType w:val="multilevel"/>
    <w:tmpl w:val="121AEAE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DF06994"/>
    <w:multiLevelType w:val="multilevel"/>
    <w:tmpl w:val="9FBC76C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grammar="clean"/>
  <w:stylePaneFormatFilter w:val="3F01"/>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274E"/>
    <w:rsid w:val="007B27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djustRightInd w:val="0"/>
    </w:pPr>
    <w:rPr>
      <w:rFonts w:ascii="Shruti" w:hAnsi="Shruti" w:cs="Shruti"/>
      <w:sz w:val="24"/>
      <w:szCs w:val="24"/>
    </w:rPr>
  </w:style>
  <w:style w:type="paragraph" w:styleId="Heading1">
    <w:name w:val="heading 1"/>
    <w:basedOn w:val="Normal"/>
    <w:next w:val="Normal"/>
    <w:qFormat/>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b/>
      <w:bCs/>
      <w:sz w:val="22"/>
      <w:szCs w:val="22"/>
    </w:rPr>
  </w:style>
  <w:style w:type="paragraph" w:styleId="Heading7">
    <w:name w:val="heading 7"/>
    <w:basedOn w:val="Normal"/>
    <w:next w:val="Normal"/>
    <w:qFormat/>
    <w:pPr>
      <w:numPr>
        <w:ilvl w:val="6"/>
        <w:numId w:val="13"/>
      </w:numPr>
      <w:spacing w:before="240" w:after="60"/>
      <w:outlineLvl w:val="6"/>
    </w:pPr>
  </w:style>
  <w:style w:type="paragraph" w:styleId="Heading8">
    <w:name w:val="heading 8"/>
    <w:basedOn w:val="Normal"/>
    <w:next w:val="Normal"/>
    <w:qFormat/>
    <w:pPr>
      <w:numPr>
        <w:ilvl w:val="7"/>
        <w:numId w:val="13"/>
      </w:numPr>
      <w:spacing w:before="240" w:after="60"/>
      <w:outlineLvl w:val="7"/>
    </w:pPr>
    <w:rPr>
      <w:i/>
      <w:iCs/>
    </w:rPr>
  </w:style>
  <w:style w:type="paragraph" w:styleId="Heading9">
    <w:name w:val="heading 9"/>
    <w:basedOn w:val="Normal"/>
    <w:next w:val="Normal"/>
    <w:qFormat/>
    <w:pPr>
      <w:numPr>
        <w:ilvl w:val="8"/>
        <w:numId w:val="13"/>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numbering" w:styleId="111111">
    <w:name w:val="Outline List 2"/>
    <w:basedOn w:val="NoList"/>
    <w:pPr>
      <w:numPr>
        <w:numId w:val="11"/>
      </w:numPr>
    </w:pPr>
  </w:style>
  <w:style w:type="numbering" w:styleId="1ai">
    <w:name w:val="Outline List 1"/>
    <w:basedOn w:val="NoList"/>
    <w:pPr>
      <w:numPr>
        <w:numId w:val="12"/>
      </w:numPr>
    </w:pPr>
  </w:style>
  <w:style w:type="numbering" w:styleId="ArticleSection">
    <w:name w:val="Outline List 3"/>
    <w:basedOn w:val="NoList"/>
    <w:pPr>
      <w:numPr>
        <w:numId w:val="13"/>
      </w:numPr>
    </w:pPr>
  </w:style>
  <w:style w:type="character" w:styleId="CommentReference">
    <w:name w:val="annotation reference"/>
    <w:basedOn w:val="DefaultParagraphFont"/>
    <w:semiHidden/>
    <w:rPr>
      <w:sz w:val="16"/>
      <w:szCs w:val="16"/>
    </w:rPr>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character" w:styleId="LineNumber">
    <w:name w:val="line number"/>
    <w:basedOn w:val="DefaultParagraphFont"/>
  </w:style>
  <w:style w:type="character" w:styleId="PageNumber">
    <w:name w:val="page number"/>
    <w:basedOn w:val="DefaultParagraphFont"/>
  </w:style>
  <w:style w:type="character" w:styleId="Strong">
    <w:name w:val="Strong"/>
    <w:basedOn w:val="DefaultParagraphFont"/>
    <w:qFormat/>
    <w:rPr>
      <w:b/>
      <w:bCs/>
    </w:rPr>
  </w:style>
  <w:style w:type="table" w:styleId="Table3Deffects1">
    <w:name w:val="Table 3D effects 1"/>
    <w:basedOn w:val="TableNormal"/>
    <w:pPr>
      <w:widowControl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widowControl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widowControl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widowControl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widowControl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widowControl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widowControl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widowControl w:val="0"/>
      <w:adjustRightIn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widowControl w:val="0"/>
      <w:adjustRightIn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widowControl w:val="0"/>
      <w:adjustRightIn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widowControl w:val="0"/>
      <w:adjustRightIn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widowControl w:val="0"/>
      <w:adjustRightIn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widowControl w:val="0"/>
      <w:adjustRightIn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widowControl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adjustRightIn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widowControl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widowControl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widowControl w:val="0"/>
      <w:adjustRightIn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widowControl w:val="0"/>
      <w:adjustRightIn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widowControl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widowControl w:val="0"/>
      <w:adjustRightIn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widowControl w:val="0"/>
      <w:adjustRightIn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widowControl w:val="0"/>
      <w:adjustRightIn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widowControl w:val="0"/>
      <w:adjustRightIn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widowControl w:val="0"/>
      <w:adjustRightIn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widowControl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widowControl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widowControl w:val="0"/>
      <w:adjustRightIn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widowControl w:val="0"/>
      <w:adjustRightIn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widowControl w:val="0"/>
      <w:adjustRightIn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widowControl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widowControl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widowControl w:val="0"/>
      <w:adjustRightIn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widowControl w:val="0"/>
      <w:adjustRightIn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widowControl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widowControl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widowControl w:val="0"/>
      <w:adjustRightIn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widowControl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3226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2012-03-20T21:29:00Z</cp:lastPrinted>
  <dcterms:created xsi:type="dcterms:W3CDTF">2012-03-21T13:12:00Z</dcterms:created>
  <dcterms:modified xsi:type="dcterms:W3CDTF">2012-03-21T13:12:00Z</dcterms:modified>
</cp:coreProperties>
</file>